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22A0A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rPr>
          <w:rFonts w:ascii="Times New Roman" w:hAnsi="Times New Roman"/>
          <w:b w:val="1"/>
        </w:rPr>
      </w:pPr>
    </w:p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004" w:type="dxa"/>
          </w:tcPr>
          <w:p>
            <w:pPr>
              <w:jc w:val="center"/>
              <w:ind w:left="851" w:right="3542"/>
              <w:rPr>
                <w:rFonts w:ascii="Times New Roman" w:hAnsi="Times New Roman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1"/>
        </w:rPr>
        <w:t>Republika Hrvatska</w:t>
      </w:r>
      <w:bookmarkStart w:id="0" w:name="_GoBack"/>
      <w:bookmarkEnd w:id="0"/>
    </w:p>
    <w:p>
      <w:pPr>
        <w:jc w:val="center"/>
        <w:ind w:right="3413"/>
        <w:rPr>
          <w:rFonts w:ascii="Times New Roman" w:hAnsi="Times New Roman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GRADSKI URED ZA PROSTORNO UREĐENJE, IZGRADNJU GRADA, GRADITELJSTVO, KOMUNALNE POSLOVE I PROMET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Odjel za graditeljstvo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Središnji odsjek za graditeljstvo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Trg Stjepana Radića 1, Zagreb</w:t>
      </w:r>
    </w:p>
    <w:p>
      <w:pPr>
        <w:ind w:right="5386"/>
        <w:rPr>
          <w:rFonts w:ascii="Times New Roman" w:hAnsi="Times New Roman"/>
        </w:rPr>
      </w:pPr>
    </w:p>
    <w:p>
      <w:pPr>
        <w:ind w:right="5386"/>
        <w:rPr>
          <w:rFonts w:ascii="Times New Roman" w:hAnsi="Times New Roman"/>
        </w:rPr>
      </w:pPr>
    </w:p>
    <w:p>
      <w:pPr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Klasa: UP/I 361-03/2014-010/15</w:t>
      </w:r>
    </w:p>
    <w:p>
      <w:pPr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Urbroj: 251-13-22/150-2014-14</w:t>
      </w:r>
    </w:p>
    <w:p>
      <w:pPr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Zagreb, 30.06.2014.</w:t>
      </w:r>
    </w:p>
    <w:p>
      <w:pPr>
        <w:jc w:val="both"/>
        <w:tabs>
          <w:tab w:val="center" w:pos="-3119" w:leader="none"/>
        </w:tabs>
        <w:rPr>
          <w:rFonts w:ascii="Times New Roman" w:hAnsi="Times New Roman"/>
        </w:rPr>
      </w:pPr>
    </w:p>
    <w:p>
      <w:pPr>
        <w:jc w:val="both"/>
        <w:tabs>
          <w:tab w:val="center" w:pos="1985" w:leader="none"/>
        </w:tabs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 Gradski ured za prostorno uređenje, izgradnju grada, graditeljstvo, komunalne poslove i promet, Odjel za graditeljstvo – Središnji odsjek za graditeljstvo, na temelju odredbe čl. 95. Zakona o općem upravnom postupku (NN 47/09), u postupku izdavanja građevinske dozvole:</w:t>
      </w:r>
    </w:p>
    <w:p>
      <w:pPr>
        <w:jc w:val="both"/>
        <w:rPr>
          <w:rFonts w:ascii="Times New Roman" w:hAnsi="Times New Roman"/>
          <w:i w:val="0"/>
        </w:rPr>
      </w:pP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ab/>
        <w:tab/>
        <w:tab/>
        <w:tab/>
        <w:t xml:space="preserve">           P O Z I V A</w:t>
      </w:r>
    </w:p>
    <w:p>
      <w:pPr>
        <w:jc w:val="both"/>
        <w:rPr>
          <w:rFonts w:ascii="Times New Roman" w:hAnsi="Times New Roman"/>
          <w:i w:val="0"/>
        </w:rPr>
      </w:pP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vlasnike i nositelje drugih stvarnih prava na nekretnini za koju se donosi rješenje za građenje (k. č. br. 7272 k. o. Centar) i nekretnina koje s njom neposredno graniče (k. č. br. 7273, 7271 i 7269 k. o. Centar), a u vezi rekonstrukcije prizemlja i podruma stambeno poslovne zgrade u Draškovićevoj 57 u caffe bar ,</w:t>
      </w:r>
    </w:p>
    <w:p>
      <w:pPr>
        <w:jc w:val="both"/>
        <w:rPr>
          <w:rFonts w:ascii="Times New Roman" w:hAnsi="Times New Roman"/>
          <w:i w:val="0"/>
        </w:rPr>
      </w:pP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ab/>
        <w:tab/>
        <w:t xml:space="preserve">         na uvid u u spis predmeta radi  izjašnjenja.</w:t>
      </w:r>
    </w:p>
    <w:p>
      <w:pPr>
        <w:jc w:val="both"/>
        <w:rPr>
          <w:rFonts w:ascii="Times New Roman" w:hAnsi="Times New Roman"/>
          <w:i w:val="0"/>
        </w:rPr>
      </w:pP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Investitor: Goran i Ivana Žepić, Zagreb, Draškovićeva 57. </w:t>
      </w: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Mjesto i vrijeme uvida u u spis predmeta i davanje izjašnjenja: Trg Stjepana Radića 1., 1. kat, soba 125.,  6. 8. 2014.  u 9.30 sati. </w:t>
      </w: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Uvidu u spis predmeta mogu pristupiti osobe koje dokažu da su stranke u postupku osobno ili putem opunomoćenika, </w:t>
      </w:r>
      <w:r>
        <w:rPr>
          <w:rFonts w:ascii="Times New Roman" w:hAnsi="Times New Roman"/>
          <w:i w:val="0"/>
          <w:u w:val="single"/>
        </w:rPr>
        <w:t>uz predočenje isprave temeljem koje su stekli pravo vlasništva ili kakvo drugo stvarno pravo</w:t>
      </w:r>
      <w:r>
        <w:rPr>
          <w:rFonts w:ascii="Times New Roman" w:hAnsi="Times New Roman"/>
          <w:i w:val="0"/>
        </w:rPr>
        <w:t xml:space="preserve">. </w:t>
      </w:r>
    </w:p>
    <w:p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ab/>
        <w:t xml:space="preserve">Građevinska dozvola se može izdati i ukoliko se pozvani ne odazovu ovom pozivu. </w:t>
      </w:r>
    </w:p>
    <w:p>
      <w:pPr>
        <w:jc w:val="both"/>
        <w:rPr>
          <w:rFonts w:ascii="Times New Roman" w:hAnsi="Times New Roman"/>
          <w:i w:val="1"/>
        </w:rPr>
      </w:pPr>
    </w:p>
    <w:p>
      <w:pPr>
        <w:jc w:val="center"/>
        <w:ind w:left="3931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Viši upravni savjetnik</w:t>
      </w:r>
    </w:p>
    <w:p>
      <w:pPr>
        <w:jc w:val="center"/>
        <w:ind w:left="3931"/>
        <w:rPr>
          <w:rFonts w:ascii="Times New Roman" w:hAnsi="Times New Roman"/>
          <w:i w:val="0"/>
        </w:rPr>
      </w:pPr>
    </w:p>
    <w:p>
      <w:pPr>
        <w:jc w:val="center"/>
        <w:ind w:left="3931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Gordan Ciglar, dipl. ing. arh.</w:t>
      </w:r>
    </w:p>
    <w:p>
      <w:pPr>
        <w:jc w:val="center"/>
        <w:ind w:left="3931"/>
        <w:rPr>
          <w:rFonts w:ascii="Times New Roman" w:hAnsi="Times New Roman"/>
          <w:i w:val="0"/>
        </w:rPr>
      </w:pPr>
    </w:p>
    <w:p>
      <w:pPr>
        <w:jc w:val="left"/>
        <w:ind w:left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Dostaviti:</w:t>
      </w:r>
    </w:p>
    <w:p>
      <w:pPr>
        <w:jc w:val="left"/>
        <w:ind w:left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1. na oglasnu ploču 8 dana</w:t>
      </w:r>
    </w:p>
    <w:sectPr>
      <w:type w:val="nextPage"/>
      <w:titlePg w:val="1"/>
      <w:pgMar w:left="1417" w:right="1417" w:top="1417" w:bottom="1417" w:header="720" w:footer="720"/>
      <w:cols w:equalWidth="1" w:space="720"/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fldChar w:fldCharType="begin"/>
    </w:r>
    <w:r>
      <w:t>PAGE</w:t>
    </w:r>
    <w:r>
      <w:fldChar w:fldCharType="separate"/>
    </w:r>
    <w:r>
      <w:t>#</w:t>
    </w:r>
    <w: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t>UP/I 361-03/2014-010/15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rFonts w:ascii="Times CRO" w:hAnsi="Times CRO"/>
      <w:sz w:val="24"/>
    </w:rPr>
  </w:style>
  <w:style w:type="paragraph" w:styleId="P1">
    <w:name w:val="Balloon Text"/>
    <w:basedOn w:val="P0"/>
    <w:semiHidden w:val="1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